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440"/>
        <w:gridCol w:w="4500"/>
      </w:tblGrid>
      <w:tr w:rsidR="006551C9" w:rsidRPr="006551C9" w:rsidTr="007E35C8">
        <w:tc>
          <w:tcPr>
            <w:tcW w:w="4860" w:type="dxa"/>
            <w:tcBorders>
              <w:top w:val="nil"/>
              <w:left w:val="nil"/>
              <w:bottom w:val="thinThickSmallGap" w:sz="24" w:space="0" w:color="auto"/>
              <w:right w:val="nil"/>
            </w:tcBorders>
          </w:tcPr>
          <w:p w:rsidR="006551C9" w:rsidRPr="006551C9" w:rsidRDefault="006551C9" w:rsidP="006551C9">
            <w:pPr>
              <w:spacing w:after="0" w:line="240" w:lineRule="auto"/>
              <w:jc w:val="center"/>
              <w:rPr>
                <w:rFonts w:ascii="TimBashk" w:eastAsia="Times New Roman" w:hAnsi="TimBashk" w:cs="Times New Roman"/>
                <w:b/>
                <w:sz w:val="24"/>
                <w:szCs w:val="24"/>
                <w:lang w:eastAsia="ru-RU"/>
              </w:rPr>
            </w:pPr>
            <w:r w:rsidRPr="006551C9">
              <w:rPr>
                <w:rFonts w:ascii="TimBashk" w:eastAsia="Times New Roman" w:hAnsi="TimBashk" w:cs="Times New Roman"/>
                <w:b/>
                <w:lang w:eastAsia="ru-RU"/>
              </w:rPr>
              <w:t>БАШ</w:t>
            </w:r>
            <w:r w:rsidRPr="006551C9">
              <w:rPr>
                <w:rFonts w:ascii="Times New Roman" w:eastAsia="Times New Roman" w:hAnsi="Times New Roman" w:cs="Times New Roman"/>
                <w:b/>
                <w:lang w:eastAsia="ru-RU"/>
              </w:rPr>
              <w:t>Қ</w:t>
            </w:r>
            <w:r w:rsidRPr="006551C9">
              <w:rPr>
                <w:rFonts w:ascii="TimBashk" w:eastAsia="Times New Roman" w:hAnsi="TimBashk" w:cs="Times New Roman"/>
                <w:b/>
                <w:lang w:eastAsia="ru-RU"/>
              </w:rPr>
              <w:t>ОРТОСТАН  РЕСПУБЛИКА</w:t>
            </w:r>
            <w:r w:rsidRPr="006551C9">
              <w:rPr>
                <w:rFonts w:ascii="Times New Roman" w:eastAsia="Times New Roman" w:hAnsi="Times New Roman" w:cs="Times New Roman"/>
                <w:b/>
                <w:lang w:eastAsia="ru-RU"/>
              </w:rPr>
              <w:t>Һ</w:t>
            </w:r>
            <w:proofErr w:type="gramStart"/>
            <w:r w:rsidRPr="006551C9">
              <w:rPr>
                <w:rFonts w:ascii="TimBashk" w:eastAsia="Times New Roman" w:hAnsi="TimBashk" w:cs="Times New Roman"/>
                <w:b/>
                <w:lang w:eastAsia="ru-RU"/>
              </w:rPr>
              <w:t>Ы</w:t>
            </w:r>
            <w:proofErr w:type="gramEnd"/>
          </w:p>
          <w:p w:rsidR="006551C9" w:rsidRPr="006551C9" w:rsidRDefault="006551C9" w:rsidP="006551C9">
            <w:pPr>
              <w:spacing w:after="0" w:line="240" w:lineRule="auto"/>
              <w:jc w:val="center"/>
              <w:rPr>
                <w:rFonts w:ascii="TimBashk" w:eastAsia="Times New Roman" w:hAnsi="TimBashk" w:cs="Times New Roman"/>
                <w:b/>
                <w:lang w:eastAsia="ru-RU"/>
              </w:rPr>
            </w:pPr>
            <w:r w:rsidRPr="006551C9">
              <w:rPr>
                <w:rFonts w:ascii="TimBashk" w:eastAsia="Times New Roman" w:hAnsi="TimBashk" w:cs="Times New Roman"/>
                <w:b/>
                <w:lang w:eastAsia="ru-RU"/>
              </w:rPr>
              <w:t>БАЙМА</w:t>
            </w:r>
            <w:r w:rsidRPr="006551C9">
              <w:rPr>
                <w:rFonts w:ascii="Times New Roman" w:eastAsia="Times New Roman" w:hAnsi="Times New Roman" w:cs="Times New Roman"/>
                <w:b/>
                <w:lang w:eastAsia="ru-RU"/>
              </w:rPr>
              <w:t>Қ</w:t>
            </w:r>
            <w:r w:rsidRPr="006551C9">
              <w:rPr>
                <w:rFonts w:ascii="TimBashk" w:eastAsia="Times New Roman" w:hAnsi="TimBashk" w:cs="Times New Roman"/>
                <w:b/>
                <w:lang w:eastAsia="ru-RU"/>
              </w:rPr>
              <w:t xml:space="preserve">   РАЙОНЫ</w:t>
            </w:r>
          </w:p>
          <w:p w:rsidR="006551C9" w:rsidRPr="006551C9" w:rsidRDefault="006551C9" w:rsidP="006551C9">
            <w:pPr>
              <w:spacing w:after="0" w:line="240" w:lineRule="auto"/>
              <w:jc w:val="center"/>
              <w:rPr>
                <w:rFonts w:ascii="TimBashk" w:eastAsia="Times New Roman" w:hAnsi="TimBashk" w:cs="Times New Roman"/>
                <w:b/>
                <w:lang w:eastAsia="ru-RU"/>
              </w:rPr>
            </w:pPr>
            <w:r w:rsidRPr="006551C9">
              <w:rPr>
                <w:rFonts w:ascii="TimBashk" w:eastAsia="Times New Roman" w:hAnsi="TimBashk" w:cs="Times New Roman"/>
                <w:b/>
                <w:lang w:eastAsia="ru-RU"/>
              </w:rPr>
              <w:t>МУНИЦИПАЛЬ РАЙОНЫНЫ</w:t>
            </w:r>
            <w:r w:rsidRPr="006551C9">
              <w:rPr>
                <w:rFonts w:ascii="Times New Roman" w:eastAsia="Times New Roman" w:hAnsi="Times New Roman" w:cs="Times New Roman"/>
                <w:b/>
                <w:lang w:eastAsia="ru-RU"/>
              </w:rPr>
              <w:t>Ң</w:t>
            </w:r>
          </w:p>
          <w:p w:rsidR="006551C9" w:rsidRPr="006551C9" w:rsidRDefault="006551C9" w:rsidP="006551C9">
            <w:pPr>
              <w:tabs>
                <w:tab w:val="left" w:pos="380"/>
                <w:tab w:val="center" w:pos="2142"/>
              </w:tabs>
              <w:spacing w:after="0" w:line="240" w:lineRule="auto"/>
              <w:jc w:val="center"/>
              <w:rPr>
                <w:rFonts w:ascii="TimBashk" w:eastAsia="Times New Roman" w:hAnsi="TimBashk" w:cs="Times New Roman"/>
                <w:b/>
                <w:lang w:eastAsia="ru-RU"/>
              </w:rPr>
            </w:pPr>
            <w:r w:rsidRPr="006551C9">
              <w:rPr>
                <w:rFonts w:ascii="TimBashk" w:eastAsia="Times New Roman" w:hAnsi="TimBashk" w:cs="Times New Roman"/>
                <w:b/>
                <w:lang w:eastAsia="ru-RU"/>
              </w:rPr>
              <w:t>НИ</w:t>
            </w:r>
            <w:r w:rsidRPr="006551C9">
              <w:rPr>
                <w:rFonts w:ascii="Times New Roman" w:eastAsia="Times New Roman" w:hAnsi="Times New Roman" w:cs="Times New Roman"/>
                <w:b/>
                <w:lang w:eastAsia="ru-RU"/>
              </w:rPr>
              <w:t>ҒӘ</w:t>
            </w:r>
            <w:r w:rsidRPr="006551C9">
              <w:rPr>
                <w:rFonts w:ascii="TimBashk" w:eastAsia="Times New Roman" w:hAnsi="TimBashk" w:cs="Times New Roman"/>
                <w:b/>
                <w:lang w:eastAsia="ru-RU"/>
              </w:rPr>
              <w:t>М</w:t>
            </w:r>
            <w:r w:rsidRPr="006551C9">
              <w:rPr>
                <w:rFonts w:ascii="Times New Roman" w:eastAsia="Times New Roman" w:hAnsi="Times New Roman" w:cs="Times New Roman"/>
                <w:b/>
                <w:lang w:eastAsia="ru-RU"/>
              </w:rPr>
              <w:t>Ә</w:t>
            </w:r>
            <w:r w:rsidRPr="006551C9">
              <w:rPr>
                <w:rFonts w:ascii="TimBashk" w:eastAsia="Times New Roman" w:hAnsi="TimBashk" w:cs="Times New Roman"/>
                <w:b/>
                <w:lang w:eastAsia="ru-RU"/>
              </w:rPr>
              <w:t xml:space="preserve">Т   АУЫЛ   СОВЕТЫ </w:t>
            </w:r>
          </w:p>
          <w:p w:rsidR="006551C9" w:rsidRPr="006551C9" w:rsidRDefault="006551C9" w:rsidP="006551C9">
            <w:pPr>
              <w:tabs>
                <w:tab w:val="left" w:pos="380"/>
                <w:tab w:val="center" w:pos="2142"/>
              </w:tabs>
              <w:spacing w:after="0" w:line="240" w:lineRule="auto"/>
              <w:jc w:val="center"/>
              <w:rPr>
                <w:rFonts w:ascii="TimBashk" w:eastAsia="Times New Roman" w:hAnsi="TimBashk" w:cs="Times New Roman"/>
                <w:b/>
                <w:lang w:eastAsia="ru-RU"/>
              </w:rPr>
            </w:pPr>
            <w:r w:rsidRPr="006551C9">
              <w:rPr>
                <w:rFonts w:ascii="TimBashk" w:eastAsia="Times New Roman" w:hAnsi="TimBashk" w:cs="Times New Roman"/>
                <w:b/>
                <w:lang w:eastAsia="ru-RU"/>
              </w:rPr>
              <w:t>АУЫЛ   БИЛ</w:t>
            </w:r>
            <w:r w:rsidRPr="006551C9">
              <w:rPr>
                <w:rFonts w:ascii="Times New Roman" w:eastAsia="Times New Roman" w:hAnsi="Times New Roman" w:cs="Times New Roman"/>
                <w:b/>
                <w:lang w:eastAsia="ru-RU"/>
              </w:rPr>
              <w:t>Ә</w:t>
            </w:r>
            <w:r w:rsidRPr="006551C9">
              <w:rPr>
                <w:rFonts w:ascii="TimBashk" w:eastAsia="Times New Roman" w:hAnsi="TimBashk" w:cs="Times New Roman"/>
                <w:b/>
                <w:lang w:eastAsia="ru-RU"/>
              </w:rPr>
              <w:t>М</w:t>
            </w:r>
            <w:r w:rsidRPr="006551C9">
              <w:rPr>
                <w:rFonts w:ascii="Times New Roman" w:eastAsia="Times New Roman" w:hAnsi="Times New Roman" w:cs="Times New Roman"/>
                <w:b/>
                <w:lang w:eastAsia="ru-RU"/>
              </w:rPr>
              <w:t>ӘҺ</w:t>
            </w:r>
            <w:r w:rsidRPr="006551C9">
              <w:rPr>
                <w:rFonts w:ascii="TimBashk" w:eastAsia="Times New Roman" w:hAnsi="TimBashk" w:cs="Times New Roman"/>
                <w:b/>
                <w:lang w:eastAsia="ru-RU"/>
              </w:rPr>
              <w:t xml:space="preserve">Е </w:t>
            </w:r>
          </w:p>
          <w:p w:rsidR="006551C9" w:rsidRPr="006551C9" w:rsidRDefault="006551C9" w:rsidP="006551C9">
            <w:pPr>
              <w:tabs>
                <w:tab w:val="left" w:pos="380"/>
                <w:tab w:val="center" w:pos="2142"/>
              </w:tabs>
              <w:spacing w:after="0" w:line="240" w:lineRule="auto"/>
              <w:jc w:val="center"/>
              <w:rPr>
                <w:rFonts w:ascii="TimBashk" w:eastAsia="Times New Roman" w:hAnsi="TimBashk" w:cs="Times New Roman"/>
                <w:b/>
                <w:lang w:eastAsia="ru-RU"/>
              </w:rPr>
            </w:pPr>
            <w:r w:rsidRPr="006551C9">
              <w:rPr>
                <w:rFonts w:ascii="TimBashk" w:eastAsia="Times New Roman" w:hAnsi="TimBashk" w:cs="Times New Roman"/>
                <w:b/>
                <w:lang w:eastAsia="ru-RU"/>
              </w:rPr>
              <w:t>ХАКИМИ</w:t>
            </w:r>
            <w:r w:rsidRPr="006551C9">
              <w:rPr>
                <w:rFonts w:ascii="Times New Roman" w:eastAsia="Times New Roman" w:hAnsi="Times New Roman" w:cs="Times New Roman"/>
                <w:b/>
                <w:lang w:eastAsia="ru-RU"/>
              </w:rPr>
              <w:t>Ә</w:t>
            </w:r>
            <w:r w:rsidRPr="006551C9">
              <w:rPr>
                <w:rFonts w:ascii="TimBashk" w:eastAsia="Times New Roman" w:hAnsi="TimBashk" w:cs="Times New Roman"/>
                <w:b/>
                <w:lang w:eastAsia="ru-RU"/>
              </w:rPr>
              <w:t>ТЕ</w:t>
            </w:r>
          </w:p>
          <w:p w:rsidR="006551C9" w:rsidRPr="006551C9" w:rsidRDefault="006551C9" w:rsidP="006551C9">
            <w:pPr>
              <w:spacing w:after="0" w:line="360" w:lineRule="auto"/>
              <w:jc w:val="center"/>
              <w:rPr>
                <w:rFonts w:ascii="Times New Roman" w:eastAsia="Times New Roman" w:hAnsi="Times New Roman" w:cs="Times New Roman"/>
                <w:b/>
                <w:sz w:val="16"/>
                <w:szCs w:val="24"/>
                <w:lang w:eastAsia="ru-RU"/>
              </w:rPr>
            </w:pPr>
          </w:p>
          <w:p w:rsidR="006551C9" w:rsidRPr="006551C9" w:rsidRDefault="006551C9" w:rsidP="006551C9">
            <w:pPr>
              <w:spacing w:after="0" w:line="240" w:lineRule="auto"/>
              <w:jc w:val="center"/>
              <w:rPr>
                <w:rFonts w:ascii="Times New Roman" w:eastAsia="Times New Roman" w:hAnsi="Times New Roman" w:cs="Times New Roman"/>
                <w:sz w:val="16"/>
                <w:szCs w:val="20"/>
                <w:lang w:eastAsia="ru-RU"/>
              </w:rPr>
            </w:pPr>
            <w:r w:rsidRPr="006551C9">
              <w:rPr>
                <w:rFonts w:ascii="Times New Roman" w:eastAsia="Times New Roman" w:hAnsi="Times New Roman" w:cs="Times New Roman"/>
                <w:sz w:val="16"/>
                <w:szCs w:val="20"/>
                <w:lang w:eastAsia="ru-RU"/>
              </w:rPr>
              <w:t xml:space="preserve">453657, </w:t>
            </w:r>
            <w:proofErr w:type="spellStart"/>
            <w:r w:rsidRPr="006551C9">
              <w:rPr>
                <w:rFonts w:ascii="Times New Roman" w:eastAsia="Times New Roman" w:hAnsi="Times New Roman" w:cs="Times New Roman"/>
                <w:sz w:val="16"/>
                <w:szCs w:val="20"/>
                <w:lang w:eastAsia="ru-RU"/>
              </w:rPr>
              <w:t>Баймақ</w:t>
            </w:r>
            <w:proofErr w:type="spellEnd"/>
            <w:r w:rsidRPr="006551C9">
              <w:rPr>
                <w:rFonts w:ascii="TimBashk" w:eastAsia="Times New Roman" w:hAnsi="TimBashk" w:cs="Times New Roman"/>
                <w:sz w:val="16"/>
                <w:szCs w:val="20"/>
                <w:lang w:eastAsia="ru-RU"/>
              </w:rPr>
              <w:t xml:space="preserve"> районы</w:t>
            </w:r>
            <w:r w:rsidRPr="006551C9">
              <w:rPr>
                <w:rFonts w:ascii="Times New Roman" w:eastAsia="Times New Roman" w:hAnsi="Times New Roman" w:cs="Times New Roman"/>
                <w:sz w:val="16"/>
                <w:szCs w:val="20"/>
                <w:lang w:eastAsia="ru-RU"/>
              </w:rPr>
              <w:t xml:space="preserve">, </w:t>
            </w:r>
            <w:proofErr w:type="spellStart"/>
            <w:r w:rsidRPr="006551C9">
              <w:rPr>
                <w:rFonts w:ascii="TimBashk" w:eastAsia="Times New Roman" w:hAnsi="TimBashk" w:cs="Times New Roman"/>
                <w:sz w:val="16"/>
                <w:szCs w:val="20"/>
                <w:lang w:eastAsia="ru-RU"/>
              </w:rPr>
              <w:t>Ни</w:t>
            </w:r>
            <w:r w:rsidRPr="006551C9">
              <w:rPr>
                <w:rFonts w:ascii="Times New Roman" w:eastAsia="Times New Roman" w:hAnsi="Times New Roman" w:cs="Times New Roman"/>
                <w:sz w:val="16"/>
                <w:szCs w:val="20"/>
                <w:lang w:eastAsia="ru-RU"/>
              </w:rPr>
              <w:t>ғә</w:t>
            </w:r>
            <w:proofErr w:type="gramStart"/>
            <w:r w:rsidRPr="006551C9">
              <w:rPr>
                <w:rFonts w:ascii="TimBashk" w:eastAsia="Times New Roman" w:hAnsi="TimBashk" w:cs="Times New Roman"/>
                <w:sz w:val="16"/>
                <w:szCs w:val="20"/>
                <w:lang w:eastAsia="ru-RU"/>
              </w:rPr>
              <w:t>м</w:t>
            </w:r>
            <w:proofErr w:type="gramEnd"/>
            <w:r w:rsidRPr="006551C9">
              <w:rPr>
                <w:rFonts w:ascii="Times New Roman" w:eastAsia="Times New Roman" w:hAnsi="Times New Roman" w:cs="Times New Roman"/>
                <w:sz w:val="16"/>
                <w:szCs w:val="20"/>
                <w:lang w:eastAsia="ru-RU"/>
              </w:rPr>
              <w:t>ә</w:t>
            </w:r>
            <w:r w:rsidRPr="006551C9">
              <w:rPr>
                <w:rFonts w:ascii="TimBashk" w:eastAsia="Times New Roman" w:hAnsi="TimBashk" w:cs="Times New Roman"/>
                <w:sz w:val="16"/>
                <w:szCs w:val="20"/>
                <w:lang w:eastAsia="ru-RU"/>
              </w:rPr>
              <w:t>т</w:t>
            </w:r>
            <w:proofErr w:type="spellEnd"/>
            <w:r w:rsidRPr="006551C9">
              <w:rPr>
                <w:rFonts w:ascii="TimBashk" w:eastAsia="Times New Roman" w:hAnsi="TimBashk" w:cs="Times New Roman"/>
                <w:sz w:val="16"/>
                <w:szCs w:val="20"/>
                <w:lang w:eastAsia="ru-RU"/>
              </w:rPr>
              <w:t xml:space="preserve"> </w:t>
            </w:r>
            <w:proofErr w:type="spellStart"/>
            <w:r w:rsidRPr="006551C9">
              <w:rPr>
                <w:rFonts w:ascii="TimBashk" w:eastAsia="Times New Roman" w:hAnsi="TimBashk" w:cs="Times New Roman"/>
                <w:sz w:val="16"/>
                <w:szCs w:val="20"/>
                <w:lang w:eastAsia="ru-RU"/>
              </w:rPr>
              <w:t>ауылы</w:t>
            </w:r>
            <w:proofErr w:type="spellEnd"/>
            <w:r w:rsidRPr="006551C9">
              <w:rPr>
                <w:rFonts w:ascii="TimBashk" w:eastAsia="Times New Roman" w:hAnsi="TimBashk" w:cs="Times New Roman"/>
                <w:sz w:val="16"/>
                <w:szCs w:val="20"/>
                <w:lang w:eastAsia="ru-RU"/>
              </w:rPr>
              <w:t xml:space="preserve">, </w:t>
            </w:r>
            <w:proofErr w:type="spellStart"/>
            <w:r w:rsidRPr="006551C9">
              <w:rPr>
                <w:rFonts w:ascii="TimBashk" w:eastAsia="Times New Roman" w:hAnsi="TimBashk" w:cs="Times New Roman"/>
                <w:sz w:val="16"/>
                <w:szCs w:val="20"/>
                <w:lang w:eastAsia="ru-RU"/>
              </w:rPr>
              <w:t>К.Дияров</w:t>
            </w:r>
            <w:proofErr w:type="spellEnd"/>
            <w:r w:rsidRPr="006551C9">
              <w:rPr>
                <w:rFonts w:ascii="TimBashk" w:eastAsia="Times New Roman" w:hAnsi="TimBashk" w:cs="Times New Roman"/>
                <w:sz w:val="16"/>
                <w:szCs w:val="20"/>
                <w:lang w:eastAsia="ru-RU"/>
              </w:rPr>
              <w:t xml:space="preserve"> урамы,</w:t>
            </w:r>
            <w:r w:rsidRPr="006551C9">
              <w:rPr>
                <w:rFonts w:ascii="Times New Roman" w:eastAsia="Times New Roman" w:hAnsi="Times New Roman" w:cs="Times New Roman"/>
                <w:sz w:val="16"/>
                <w:szCs w:val="20"/>
                <w:lang w:eastAsia="ru-RU"/>
              </w:rPr>
              <w:t>7</w:t>
            </w:r>
          </w:p>
          <w:p w:rsidR="006551C9" w:rsidRPr="006551C9" w:rsidRDefault="006551C9" w:rsidP="006551C9">
            <w:pPr>
              <w:spacing w:after="0" w:line="240" w:lineRule="auto"/>
              <w:jc w:val="center"/>
              <w:rPr>
                <w:rFonts w:ascii="Times New Roman" w:eastAsia="Times New Roman" w:hAnsi="Times New Roman" w:cs="Times New Roman"/>
                <w:sz w:val="28"/>
                <w:szCs w:val="24"/>
                <w:lang w:eastAsia="ru-RU"/>
              </w:rPr>
            </w:pPr>
            <w:r w:rsidRPr="006551C9">
              <w:rPr>
                <w:rFonts w:ascii="Times New Roman" w:eastAsia="Times New Roman" w:hAnsi="Times New Roman" w:cs="Times New Roman"/>
                <w:sz w:val="16"/>
                <w:szCs w:val="20"/>
                <w:lang w:eastAsia="ru-RU"/>
              </w:rPr>
              <w:t>тел.: (34751) 4-75-37, 4-75-43</w:t>
            </w:r>
          </w:p>
        </w:tc>
        <w:tc>
          <w:tcPr>
            <w:tcW w:w="1440" w:type="dxa"/>
            <w:tcBorders>
              <w:top w:val="nil"/>
              <w:left w:val="nil"/>
              <w:bottom w:val="thinThickSmallGap" w:sz="24" w:space="0" w:color="auto"/>
              <w:right w:val="nil"/>
            </w:tcBorders>
          </w:tcPr>
          <w:p w:rsidR="006551C9" w:rsidRPr="006551C9" w:rsidRDefault="006551C9" w:rsidP="006551C9">
            <w:pPr>
              <w:spacing w:after="0" w:line="240" w:lineRule="auto"/>
              <w:jc w:val="center"/>
              <w:rPr>
                <w:rFonts w:ascii="Times New Roman" w:eastAsia="Times New Roman" w:hAnsi="Times New Roman" w:cs="Times New Roman"/>
                <w:sz w:val="24"/>
                <w:szCs w:val="24"/>
                <w:lang w:eastAsia="ru-RU"/>
              </w:rPr>
            </w:pPr>
            <w:r w:rsidRPr="006551C9">
              <w:rPr>
                <w:rFonts w:ascii="Calibri" w:eastAsia="Calibri" w:hAnsi="Calibri" w:cs="Times New Roman"/>
                <w:noProof/>
                <w:lang w:eastAsia="ru-RU"/>
              </w:rPr>
              <w:drawing>
                <wp:anchor distT="0" distB="0" distL="114300" distR="114300" simplePos="0" relativeHeight="251659264" behindDoc="0" locked="0" layoutInCell="1" allowOverlap="1" wp14:anchorId="408A2D28" wp14:editId="0FF3290E">
                  <wp:simplePos x="0" y="0"/>
                  <wp:positionH relativeFrom="column">
                    <wp:posOffset>45720</wp:posOffset>
                  </wp:positionH>
                  <wp:positionV relativeFrom="paragraph">
                    <wp:posOffset>110490</wp:posOffset>
                  </wp:positionV>
                  <wp:extent cx="702310" cy="87693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6551C9" w:rsidRPr="006551C9" w:rsidRDefault="006551C9" w:rsidP="006551C9">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500" w:type="dxa"/>
            <w:tcBorders>
              <w:top w:val="nil"/>
              <w:left w:val="nil"/>
              <w:bottom w:val="thinThickSmallGap" w:sz="24" w:space="0" w:color="auto"/>
              <w:right w:val="nil"/>
            </w:tcBorders>
          </w:tcPr>
          <w:p w:rsidR="006551C9" w:rsidRPr="006551C9" w:rsidRDefault="006551C9" w:rsidP="006551C9">
            <w:pPr>
              <w:spacing w:after="0" w:line="240" w:lineRule="auto"/>
              <w:ind w:left="-118" w:right="-144"/>
              <w:jc w:val="center"/>
              <w:rPr>
                <w:rFonts w:ascii="TimBashk" w:eastAsia="Times New Roman" w:hAnsi="TimBashk" w:cs="Times New Roman"/>
                <w:b/>
                <w:lang w:eastAsia="ru-RU"/>
              </w:rPr>
            </w:pPr>
            <w:r w:rsidRPr="006551C9">
              <w:rPr>
                <w:rFonts w:ascii="TimBashk" w:eastAsia="Times New Roman" w:hAnsi="TimBashk" w:cs="Times New Roman"/>
                <w:b/>
                <w:lang w:eastAsia="ru-RU"/>
              </w:rPr>
              <w:t>РЕСПУБЛИКА БАШКОРТОСТАН</w:t>
            </w:r>
          </w:p>
          <w:p w:rsidR="006551C9" w:rsidRPr="006551C9" w:rsidRDefault="006551C9" w:rsidP="006551C9">
            <w:pPr>
              <w:spacing w:after="0" w:line="240" w:lineRule="auto"/>
              <w:ind w:left="-118" w:right="-144"/>
              <w:jc w:val="center"/>
              <w:rPr>
                <w:rFonts w:ascii="TimBashk" w:eastAsia="Times New Roman" w:hAnsi="TimBashk" w:cs="Times New Roman"/>
                <w:b/>
                <w:lang w:eastAsia="ru-RU"/>
              </w:rPr>
            </w:pPr>
            <w:r w:rsidRPr="006551C9">
              <w:rPr>
                <w:rFonts w:ascii="TimBashk" w:eastAsia="Times New Roman" w:hAnsi="TimBashk" w:cs="Times New Roman"/>
                <w:b/>
                <w:lang w:eastAsia="ru-RU"/>
              </w:rPr>
              <w:t>АДМИНИСТРАЦИЯ</w:t>
            </w:r>
          </w:p>
          <w:p w:rsidR="006551C9" w:rsidRPr="006551C9" w:rsidRDefault="006551C9" w:rsidP="006551C9">
            <w:pPr>
              <w:keepNext/>
              <w:spacing w:after="0" w:line="240" w:lineRule="auto"/>
              <w:ind w:left="-118" w:right="-144"/>
              <w:jc w:val="center"/>
              <w:outlineLvl w:val="1"/>
              <w:rPr>
                <w:rFonts w:ascii="TimBashk" w:eastAsia="Times New Roman" w:hAnsi="TimBashk" w:cs="Times New Roman"/>
                <w:b/>
                <w:lang w:eastAsia="ru-RU"/>
              </w:rPr>
            </w:pPr>
            <w:r w:rsidRPr="006551C9">
              <w:rPr>
                <w:rFonts w:ascii="TimBashk" w:eastAsia="Times New Roman" w:hAnsi="TimBashk" w:cs="Times New Roman"/>
                <w:b/>
                <w:lang w:eastAsia="ru-RU"/>
              </w:rPr>
              <w:t>СЕЛЬСКОГО ПОСЕЛЕНИЯ НИГАМАТОВСКИЙ СЕЛЬСОВЕТ МУНИЦИПАЛЬНОГО РАЙОНА</w:t>
            </w:r>
          </w:p>
          <w:p w:rsidR="006551C9" w:rsidRPr="006551C9" w:rsidRDefault="006551C9" w:rsidP="006551C9">
            <w:pPr>
              <w:tabs>
                <w:tab w:val="left" w:pos="380"/>
                <w:tab w:val="center" w:pos="2142"/>
              </w:tabs>
              <w:spacing w:after="0" w:line="240" w:lineRule="auto"/>
              <w:jc w:val="center"/>
              <w:rPr>
                <w:rFonts w:ascii="TimBashk" w:eastAsia="Times New Roman" w:hAnsi="TimBashk" w:cs="Times New Roman"/>
                <w:b/>
                <w:lang w:eastAsia="ru-RU"/>
              </w:rPr>
            </w:pPr>
            <w:r w:rsidRPr="006551C9">
              <w:rPr>
                <w:rFonts w:ascii="TimBashk" w:eastAsia="Times New Roman" w:hAnsi="TimBashk" w:cs="Times New Roman"/>
                <w:b/>
                <w:lang w:eastAsia="ru-RU"/>
              </w:rPr>
              <w:t>БАЙМАКСКИЙ РАЙОН</w:t>
            </w:r>
          </w:p>
          <w:p w:rsidR="006551C9" w:rsidRPr="006551C9" w:rsidRDefault="006551C9" w:rsidP="006551C9">
            <w:pPr>
              <w:spacing w:after="0" w:line="360" w:lineRule="auto"/>
              <w:jc w:val="center"/>
              <w:rPr>
                <w:rFonts w:ascii="Times New Roman" w:eastAsia="Times New Roman" w:hAnsi="Times New Roman" w:cs="Times New Roman"/>
                <w:b/>
                <w:sz w:val="16"/>
                <w:szCs w:val="24"/>
                <w:lang w:eastAsia="ru-RU"/>
              </w:rPr>
            </w:pPr>
          </w:p>
          <w:p w:rsidR="006551C9" w:rsidRPr="006551C9" w:rsidRDefault="006551C9" w:rsidP="006551C9">
            <w:pPr>
              <w:spacing w:after="0" w:line="240" w:lineRule="auto"/>
              <w:ind w:left="-118" w:right="-144"/>
              <w:jc w:val="center"/>
              <w:rPr>
                <w:rFonts w:ascii="Times New Roman" w:eastAsia="Times New Roman" w:hAnsi="Times New Roman" w:cs="Times New Roman"/>
                <w:sz w:val="16"/>
                <w:szCs w:val="24"/>
                <w:lang w:eastAsia="ru-RU"/>
              </w:rPr>
            </w:pPr>
            <w:r w:rsidRPr="006551C9">
              <w:rPr>
                <w:rFonts w:ascii="Times New Roman" w:eastAsia="Times New Roman" w:hAnsi="Times New Roman" w:cs="Times New Roman"/>
                <w:sz w:val="16"/>
                <w:szCs w:val="20"/>
                <w:lang w:eastAsia="ru-RU"/>
              </w:rPr>
              <w:t xml:space="preserve">453657, </w:t>
            </w:r>
            <w:proofErr w:type="spellStart"/>
            <w:r w:rsidRPr="006551C9">
              <w:rPr>
                <w:rFonts w:ascii="TimBashk" w:eastAsia="Times New Roman" w:hAnsi="TimBashk" w:cs="Times New Roman"/>
                <w:sz w:val="16"/>
                <w:szCs w:val="20"/>
                <w:lang w:eastAsia="ru-RU"/>
              </w:rPr>
              <w:t>Баймакский</w:t>
            </w:r>
            <w:proofErr w:type="spellEnd"/>
            <w:r w:rsidRPr="006551C9">
              <w:rPr>
                <w:rFonts w:ascii="TimBashk" w:eastAsia="Times New Roman" w:hAnsi="TimBashk" w:cs="Times New Roman"/>
                <w:sz w:val="16"/>
                <w:szCs w:val="20"/>
                <w:lang w:eastAsia="ru-RU"/>
              </w:rPr>
              <w:t xml:space="preserve"> район, </w:t>
            </w:r>
            <w:proofErr w:type="spellStart"/>
            <w:r w:rsidRPr="006551C9">
              <w:rPr>
                <w:rFonts w:ascii="TimBashk" w:eastAsia="Times New Roman" w:hAnsi="TimBashk" w:cs="Times New Roman"/>
                <w:sz w:val="16"/>
                <w:szCs w:val="20"/>
                <w:lang w:eastAsia="ru-RU"/>
              </w:rPr>
              <w:t>с</w:t>
            </w:r>
            <w:proofErr w:type="gramStart"/>
            <w:r w:rsidRPr="006551C9">
              <w:rPr>
                <w:rFonts w:ascii="TimBashk" w:eastAsia="Times New Roman" w:hAnsi="TimBashk" w:cs="Times New Roman"/>
                <w:sz w:val="16"/>
                <w:szCs w:val="20"/>
                <w:lang w:eastAsia="ru-RU"/>
              </w:rPr>
              <w:t>.Н</w:t>
            </w:r>
            <w:proofErr w:type="gramEnd"/>
            <w:r w:rsidRPr="006551C9">
              <w:rPr>
                <w:rFonts w:ascii="TimBashk" w:eastAsia="Times New Roman" w:hAnsi="TimBashk" w:cs="Times New Roman"/>
                <w:sz w:val="16"/>
                <w:szCs w:val="20"/>
                <w:lang w:eastAsia="ru-RU"/>
              </w:rPr>
              <w:t>игаматово</w:t>
            </w:r>
            <w:proofErr w:type="spellEnd"/>
            <w:r w:rsidRPr="006551C9">
              <w:rPr>
                <w:rFonts w:ascii="TimBashk" w:eastAsia="Times New Roman" w:hAnsi="TimBashk" w:cs="Times New Roman"/>
                <w:sz w:val="16"/>
                <w:szCs w:val="20"/>
                <w:lang w:eastAsia="ru-RU"/>
              </w:rPr>
              <w:t>, ул. К.Диярова</w:t>
            </w:r>
            <w:r w:rsidRPr="006551C9">
              <w:rPr>
                <w:rFonts w:ascii="Times New Roman" w:eastAsia="Times New Roman" w:hAnsi="Times New Roman" w:cs="Times New Roman"/>
                <w:sz w:val="16"/>
                <w:szCs w:val="20"/>
                <w:lang w:eastAsia="ru-RU"/>
              </w:rPr>
              <w:t>,7</w:t>
            </w:r>
          </w:p>
          <w:p w:rsidR="006551C9" w:rsidRPr="006551C9" w:rsidRDefault="006551C9" w:rsidP="006551C9">
            <w:pPr>
              <w:spacing w:after="0" w:line="240" w:lineRule="auto"/>
              <w:ind w:left="-118" w:right="-144"/>
              <w:jc w:val="center"/>
              <w:rPr>
                <w:rFonts w:ascii="Times New Roman" w:eastAsia="Times New Roman" w:hAnsi="Times New Roman" w:cs="Times New Roman"/>
                <w:sz w:val="16"/>
                <w:szCs w:val="24"/>
                <w:lang w:eastAsia="ru-RU"/>
              </w:rPr>
            </w:pPr>
            <w:r w:rsidRPr="006551C9">
              <w:rPr>
                <w:rFonts w:ascii="Times New Roman" w:eastAsia="Times New Roman" w:hAnsi="Times New Roman" w:cs="Times New Roman"/>
                <w:sz w:val="16"/>
                <w:szCs w:val="20"/>
                <w:lang w:eastAsia="ru-RU"/>
              </w:rPr>
              <w:t>тел.: (34751) 4-75-37, 4-75-43</w:t>
            </w:r>
          </w:p>
        </w:tc>
      </w:tr>
    </w:tbl>
    <w:p w:rsidR="006551C9" w:rsidRPr="006551C9" w:rsidRDefault="006551C9" w:rsidP="006551C9">
      <w:pPr>
        <w:spacing w:after="200" w:line="276" w:lineRule="auto"/>
        <w:rPr>
          <w:rFonts w:ascii="Times New Roman" w:eastAsia="Times New Roman" w:hAnsi="Times New Roman" w:cs="Times New Roman"/>
          <w:b/>
          <w:sz w:val="28"/>
          <w:szCs w:val="28"/>
          <w:lang w:eastAsia="ru-RU"/>
        </w:rPr>
      </w:pPr>
      <w:r w:rsidRPr="006551C9">
        <w:rPr>
          <w:rFonts w:ascii="Times New Roman" w:eastAsia="Times New Roman" w:hAnsi="Times New Roman" w:cs="Times New Roman"/>
          <w:b/>
          <w:sz w:val="28"/>
          <w:szCs w:val="28"/>
          <w:lang w:eastAsia="ru-RU"/>
        </w:rPr>
        <w:t xml:space="preserve">            КАРАР                                                                  ПОСТАНОВЛЕНИЕ</w:t>
      </w:r>
    </w:p>
    <w:p w:rsidR="006551C9" w:rsidRPr="006551C9" w:rsidRDefault="006551C9" w:rsidP="006551C9">
      <w:pPr>
        <w:spacing w:after="200" w:line="276" w:lineRule="auto"/>
        <w:rPr>
          <w:rFonts w:ascii="Times New Roman" w:eastAsia="Times New Roman" w:hAnsi="Times New Roman" w:cs="Times New Roman"/>
          <w:sz w:val="28"/>
          <w:szCs w:val="28"/>
          <w:lang w:eastAsia="ru-RU"/>
        </w:rPr>
      </w:pPr>
      <w:r w:rsidRPr="006551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w:t>
      </w:r>
      <w:r w:rsidRPr="006551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w:t>
      </w:r>
      <w:r w:rsidRPr="006551C9">
        <w:rPr>
          <w:rFonts w:ascii="Times New Roman" w:eastAsia="Times New Roman" w:hAnsi="Times New Roman" w:cs="Times New Roman"/>
          <w:sz w:val="28"/>
          <w:szCs w:val="28"/>
          <w:lang w:eastAsia="ru-RU"/>
        </w:rPr>
        <w:t>ь  2019 й.                             №</w:t>
      </w:r>
      <w:r>
        <w:rPr>
          <w:rFonts w:ascii="Times New Roman" w:eastAsia="Times New Roman" w:hAnsi="Times New Roman" w:cs="Times New Roman"/>
          <w:sz w:val="28"/>
          <w:szCs w:val="28"/>
          <w:lang w:eastAsia="ru-RU"/>
        </w:rPr>
        <w:t>9</w:t>
      </w:r>
      <w:r w:rsidRPr="006551C9">
        <w:rPr>
          <w:rFonts w:ascii="Times New Roman" w:eastAsia="Times New Roman" w:hAnsi="Times New Roman" w:cs="Times New Roman"/>
          <w:sz w:val="28"/>
          <w:szCs w:val="28"/>
          <w:lang w:eastAsia="ru-RU"/>
        </w:rPr>
        <w:t>7                      «</w:t>
      </w:r>
      <w:r>
        <w:rPr>
          <w:rFonts w:ascii="Times New Roman" w:eastAsia="Times New Roman" w:hAnsi="Times New Roman" w:cs="Times New Roman"/>
          <w:sz w:val="28"/>
          <w:szCs w:val="28"/>
          <w:lang w:eastAsia="ru-RU"/>
        </w:rPr>
        <w:t>16</w:t>
      </w:r>
      <w:r w:rsidRPr="006551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октября</w:t>
      </w:r>
      <w:r w:rsidRPr="006551C9">
        <w:rPr>
          <w:rFonts w:ascii="Times New Roman" w:eastAsia="Times New Roman" w:hAnsi="Times New Roman" w:cs="Times New Roman"/>
          <w:sz w:val="28"/>
          <w:szCs w:val="28"/>
          <w:lang w:eastAsia="ru-RU"/>
        </w:rPr>
        <w:t xml:space="preserve"> 2019 г.</w:t>
      </w:r>
    </w:p>
    <w:p w:rsidR="00B97B25" w:rsidRDefault="00B97B25" w:rsidP="00B97B25">
      <w:pPr>
        <w:spacing w:line="240" w:lineRule="exact"/>
        <w:jc w:val="center"/>
        <w:rPr>
          <w:rFonts w:ascii="Times New Roman" w:hAnsi="Times New Roman" w:cs="Times New Roman"/>
          <w:b/>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786134">
        <w:rPr>
          <w:rFonts w:ascii="Times New Roman" w:hAnsi="Times New Roman" w:cs="Times New Roman"/>
          <w:b/>
          <w:sz w:val="28"/>
          <w:szCs w:val="28"/>
        </w:rPr>
        <w:t xml:space="preserve">Об утверждении Порядка подготовки документации по </w:t>
      </w:r>
      <w:r>
        <w:rPr>
          <w:rFonts w:ascii="Times New Roman" w:hAnsi="Times New Roman" w:cs="Times New Roman"/>
          <w:b/>
          <w:sz w:val="28"/>
          <w:szCs w:val="28"/>
        </w:rPr>
        <w:t>планировке территории.</w:t>
      </w:r>
    </w:p>
    <w:p w:rsidR="00B97B25" w:rsidRPr="00CD474B" w:rsidRDefault="000A324C" w:rsidP="000A32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sidR="00B97B25">
        <w:rPr>
          <w:rFonts w:ascii="Times New Roman" w:hAnsi="Times New Roman" w:cs="Times New Roman"/>
          <w:sz w:val="28"/>
          <w:szCs w:val="28"/>
        </w:rPr>
        <w:t>СП Нигаматовский с/с МР Баймакский район РБ</w:t>
      </w:r>
      <w:r w:rsidR="00B97B25" w:rsidRPr="00CD474B">
        <w:rPr>
          <w:rFonts w:ascii="Times New Roman" w:hAnsi="Times New Roman" w:cs="Times New Roman"/>
          <w:sz w:val="28"/>
          <w:szCs w:val="28"/>
        </w:rPr>
        <w:t xml:space="preserve">, в целях определения </w:t>
      </w:r>
      <w:r w:rsidR="00B97B25" w:rsidRPr="00CD474B">
        <w:rPr>
          <w:rFonts w:ascii="Times New Roman" w:hAnsi="Times New Roman" w:cs="Times New Roman"/>
          <w:bCs/>
          <w:kern w:val="28"/>
          <w:sz w:val="28"/>
          <w:szCs w:val="28"/>
        </w:rPr>
        <w:t xml:space="preserve">порядка подготовки документации по планировке территории, </w:t>
      </w:r>
      <w:r w:rsidR="00B97B25">
        <w:rPr>
          <w:rFonts w:ascii="Times New Roman" w:hAnsi="Times New Roman" w:cs="Times New Roman"/>
          <w:sz w:val="28"/>
          <w:szCs w:val="28"/>
        </w:rPr>
        <w:t>Администрация СП Нигаматовский сельсовет</w:t>
      </w:r>
    </w:p>
    <w:p w:rsidR="00B97B25" w:rsidRPr="00CD474B" w:rsidRDefault="00B97B25" w:rsidP="00B97B25">
      <w:pPr>
        <w:rPr>
          <w:rFonts w:ascii="Times New Roman" w:hAnsi="Times New Roman" w:cs="Times New Roman"/>
          <w:bCs/>
          <w:spacing w:val="20"/>
          <w:sz w:val="28"/>
          <w:szCs w:val="28"/>
        </w:rPr>
      </w:pPr>
    </w:p>
    <w:p w:rsidR="00B97B25" w:rsidRPr="00B97B25" w:rsidRDefault="00AB27D9" w:rsidP="00B97B25">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00B97B25"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здании Администрации СП Нигаматовский </w:t>
      </w:r>
      <w:proofErr w:type="gramStart"/>
      <w:r>
        <w:rPr>
          <w:rFonts w:ascii="Times New Roman" w:hAnsi="Times New Roman" w:cs="Times New Roman"/>
          <w:szCs w:val="28"/>
        </w:rPr>
        <w:t>с</w:t>
      </w:r>
      <w:proofErr w:type="gramEnd"/>
      <w:r>
        <w:rPr>
          <w:rFonts w:ascii="Times New Roman" w:hAnsi="Times New Roman" w:cs="Times New Roman"/>
          <w:szCs w:val="28"/>
        </w:rPr>
        <w:t>/</w:t>
      </w:r>
      <w:proofErr w:type="gramStart"/>
      <w:r>
        <w:rPr>
          <w:rFonts w:ascii="Times New Roman" w:hAnsi="Times New Roman" w:cs="Times New Roman"/>
          <w:szCs w:val="28"/>
        </w:rPr>
        <w:t>с</w:t>
      </w:r>
      <w:proofErr w:type="gramEnd"/>
      <w:r w:rsidRPr="00CD474B">
        <w:rPr>
          <w:rFonts w:ascii="Times New Roman" w:hAnsi="Times New Roman" w:cs="Times New Roman"/>
          <w:szCs w:val="28"/>
        </w:rPr>
        <w:t xml:space="preserve"> и разместить на официальном сайте администрации </w:t>
      </w:r>
      <w:r>
        <w:rPr>
          <w:rFonts w:ascii="Times New Roman" w:hAnsi="Times New Roman" w:cs="Times New Roman"/>
          <w:szCs w:val="28"/>
        </w:rPr>
        <w:t>СП Нигаматовский сельсовет</w:t>
      </w:r>
      <w:r w:rsidRPr="00CD474B">
        <w:rPr>
          <w:rFonts w:ascii="Times New Roman" w:hAnsi="Times New Roman" w:cs="Times New Roman"/>
          <w:szCs w:val="28"/>
        </w:rPr>
        <w:t xml:space="preserve"> </w:t>
      </w:r>
      <w:r>
        <w:rPr>
          <w:rFonts w:ascii="Times New Roman" w:hAnsi="Times New Roman" w:cs="Times New Roman"/>
          <w:szCs w:val="28"/>
        </w:rPr>
        <w:t>МР Баймакский район РБ</w:t>
      </w:r>
      <w:r w:rsidRPr="00B97B25">
        <w:t xml:space="preserve"> </w:t>
      </w:r>
      <w:hyperlink r:id="rId8" w:history="1">
        <w:r w:rsidRPr="00B97B25">
          <w:rPr>
            <w:rStyle w:val="a8"/>
            <w:rFonts w:ascii="Times New Roman" w:hAnsi="Times New Roman"/>
          </w:rPr>
          <w:t>http://nigamat.ru/</w:t>
        </w:r>
      </w:hyperlink>
      <w:r w:rsidRPr="00CD474B">
        <w:rPr>
          <w:rFonts w:ascii="Times New Roman" w:hAnsi="Times New Roman" w:cs="Times New Roman"/>
          <w:szCs w:val="28"/>
        </w:rPr>
        <w:t xml:space="preserve"> 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CD474B">
        <w:rPr>
          <w:rFonts w:ascii="Times New Roman" w:hAnsi="Times New Roman" w:cs="Times New Roman"/>
          <w:sz w:val="28"/>
          <w:szCs w:val="28"/>
        </w:rPr>
        <w:t xml:space="preserve">Глава </w:t>
      </w:r>
      <w:bookmarkStart w:id="0" w:name="_GoBack"/>
      <w:bookmarkEnd w:id="0"/>
      <w:r>
        <w:rPr>
          <w:rFonts w:ascii="Times New Roman" w:hAnsi="Times New Roman" w:cs="Times New Roman"/>
          <w:sz w:val="28"/>
          <w:szCs w:val="28"/>
        </w:rPr>
        <w:t xml:space="preserve">СП                                </w:t>
      </w:r>
      <w:r w:rsidR="006551C9">
        <w:rPr>
          <w:rFonts w:ascii="Times New Roman" w:hAnsi="Times New Roman" w:cs="Times New Roman"/>
          <w:sz w:val="28"/>
          <w:szCs w:val="28"/>
        </w:rPr>
        <w:t xml:space="preserve">Б.Ф. </w:t>
      </w:r>
      <w:proofErr w:type="spellStart"/>
      <w:r w:rsidR="006551C9">
        <w:rPr>
          <w:rFonts w:ascii="Times New Roman" w:hAnsi="Times New Roman" w:cs="Times New Roman"/>
          <w:sz w:val="28"/>
          <w:szCs w:val="28"/>
        </w:rPr>
        <w:t>Тайбугин</w:t>
      </w:r>
      <w:proofErr w:type="spellEnd"/>
    </w:p>
    <w:p w:rsidR="00B97B25" w:rsidRPr="00CD474B" w:rsidRDefault="00B97B25" w:rsidP="00B97B25">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6551C9" w:rsidRDefault="006551C9"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lastRenderedPageBreak/>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СП Нигаматовский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00FD3EEA">
        <w:rPr>
          <w:rFonts w:ascii="Times New Roman" w:hAnsi="Times New Roman" w:cs="Times New Roman"/>
          <w:sz w:val="28"/>
          <w:szCs w:val="28"/>
        </w:rPr>
        <w:t xml:space="preserve"> </w:t>
      </w:r>
      <w:r w:rsidR="006551C9">
        <w:rPr>
          <w:rFonts w:ascii="Times New Roman" w:hAnsi="Times New Roman" w:cs="Times New Roman"/>
          <w:sz w:val="28"/>
          <w:szCs w:val="28"/>
        </w:rPr>
        <w:t>97</w:t>
      </w:r>
      <w:r w:rsidR="00FD3EEA">
        <w:rPr>
          <w:rFonts w:ascii="Times New Roman" w:hAnsi="Times New Roman" w:cs="Times New Roman"/>
          <w:sz w:val="28"/>
          <w:szCs w:val="28"/>
        </w:rPr>
        <w:t xml:space="preserve"> </w:t>
      </w:r>
      <w:r w:rsidRPr="00CD474B">
        <w:rPr>
          <w:rFonts w:ascii="Times New Roman" w:hAnsi="Times New Roman" w:cs="Times New Roman"/>
          <w:sz w:val="28"/>
          <w:szCs w:val="28"/>
        </w:rPr>
        <w:t xml:space="preserve">от </w:t>
      </w:r>
      <w:r w:rsidR="006551C9">
        <w:rPr>
          <w:rFonts w:ascii="Times New Roman" w:hAnsi="Times New Roman" w:cs="Times New Roman"/>
          <w:sz w:val="28"/>
          <w:szCs w:val="28"/>
        </w:rPr>
        <w:t>16 октября</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1"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Нигаматовский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2"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СП Нигаматовский 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B97B25">
        <w:rPr>
          <w:rFonts w:ascii="Times New Roman" w:hAnsi="Times New Roman" w:cs="Times New Roman"/>
          <w:sz w:val="28"/>
          <w:szCs w:val="28"/>
        </w:rPr>
        <w:t xml:space="preserve">СП Нигаматовский сельсовет МР Баймакский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w:t>
      </w:r>
      <w:r w:rsidR="00B97B25" w:rsidRPr="00CD474B">
        <w:rPr>
          <w:rFonts w:ascii="Times New Roman" w:hAnsi="Times New Roman" w:cs="Times New Roman"/>
          <w:sz w:val="28"/>
          <w:szCs w:val="28"/>
        </w:rPr>
        <w:lastRenderedPageBreak/>
        <w:t>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lastRenderedPageBreak/>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Нигаматовский 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СП Нигаматовский сельсовет МР Баймакский район</w:t>
      </w:r>
      <w:r w:rsidR="00B97B25" w:rsidRPr="00CD474B">
        <w:rPr>
          <w:rFonts w:ascii="Times New Roman" w:hAnsi="Times New Roman" w:cs="Times New Roman"/>
          <w:sz w:val="28"/>
          <w:szCs w:val="28"/>
        </w:rPr>
        <w:t>.</w:t>
      </w:r>
    </w:p>
    <w:bookmarkEnd w:id="16"/>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Нигаматовский с/с.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Нигаматовский 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полномоченный орган осуществляет проверку 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lastRenderedPageBreak/>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B97B25">
        <w:rPr>
          <w:rFonts w:ascii="Times New Roman" w:hAnsi="Times New Roman" w:cs="Times New Roman"/>
          <w:sz w:val="28"/>
          <w:szCs w:val="28"/>
        </w:rPr>
        <w:t xml:space="preserve">СП Нигаматовский сельсовет МР Баймакский район с </w:t>
      </w:r>
      <w:r w:rsidR="00B97B25"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Нигаматовский 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proofErr w:type="spellStart"/>
      <w:r w:rsidR="00C718BC" w:rsidRPr="00C718BC">
        <w:rPr>
          <w:rFonts w:ascii="Times New Roman" w:hAnsi="Times New Roman" w:cs="Times New Roman"/>
          <w:sz w:val="28"/>
          <w:szCs w:val="28"/>
        </w:rPr>
        <w:t>Нигаматовский</w:t>
      </w:r>
      <w:proofErr w:type="spellEnd"/>
      <w:r w:rsidR="00C718BC" w:rsidRPr="00C718BC">
        <w:rPr>
          <w:rFonts w:ascii="Times New Roman" w:hAnsi="Times New Roman" w:cs="Times New Roman"/>
          <w:sz w:val="28"/>
          <w:szCs w:val="28"/>
        </w:rPr>
        <w:t xml:space="preserve"> сельсовет МР </w:t>
      </w:r>
      <w:proofErr w:type="spellStart"/>
      <w:r w:rsidR="00C718BC" w:rsidRPr="00C718BC">
        <w:rPr>
          <w:rFonts w:ascii="Times New Roman" w:hAnsi="Times New Roman" w:cs="Times New Roman"/>
          <w:sz w:val="28"/>
          <w:szCs w:val="28"/>
        </w:rPr>
        <w:t>Баймакский</w:t>
      </w:r>
      <w:proofErr w:type="spellEnd"/>
      <w:r w:rsidR="00C718BC" w:rsidRPr="00C718BC">
        <w:rPr>
          <w:rFonts w:ascii="Times New Roman" w:hAnsi="Times New Roman" w:cs="Times New Roman"/>
          <w:sz w:val="28"/>
          <w:szCs w:val="28"/>
        </w:rPr>
        <w:t xml:space="preserve"> район и (или) нормативным правовым актом представительного органа муниципального образования СП </w:t>
      </w:r>
      <w:proofErr w:type="spellStart"/>
      <w:r w:rsidR="00C718BC" w:rsidRPr="00C718BC">
        <w:rPr>
          <w:rFonts w:ascii="Times New Roman" w:hAnsi="Times New Roman" w:cs="Times New Roman"/>
          <w:sz w:val="28"/>
          <w:szCs w:val="28"/>
        </w:rPr>
        <w:t>Нигаматовский</w:t>
      </w:r>
      <w:proofErr w:type="spellEnd"/>
      <w:r w:rsidR="00C718BC" w:rsidRPr="00C718BC">
        <w:rPr>
          <w:rFonts w:ascii="Times New Roman" w:hAnsi="Times New Roman" w:cs="Times New Roman"/>
          <w:sz w:val="28"/>
          <w:szCs w:val="28"/>
        </w:rPr>
        <w:t xml:space="preserve"> сельсовет МР </w:t>
      </w:r>
      <w:proofErr w:type="spellStart"/>
      <w:r w:rsidR="00C718BC" w:rsidRPr="00C718BC">
        <w:rPr>
          <w:rFonts w:ascii="Times New Roman" w:hAnsi="Times New Roman" w:cs="Times New Roman"/>
          <w:sz w:val="28"/>
          <w:szCs w:val="28"/>
        </w:rPr>
        <w:t>Баймакский</w:t>
      </w:r>
      <w:proofErr w:type="spellEnd"/>
      <w:r w:rsidR="00C718BC" w:rsidRPr="00C718BC">
        <w:rPr>
          <w:rFonts w:ascii="Times New Roman" w:hAnsi="Times New Roman" w:cs="Times New Roman"/>
          <w:sz w:val="28"/>
          <w:szCs w:val="28"/>
        </w:rPr>
        <w:t xml:space="preserve">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B97B25">
        <w:rPr>
          <w:rFonts w:ascii="Times New Roman" w:hAnsi="Times New Roman" w:cs="Times New Roman"/>
          <w:sz w:val="28"/>
          <w:szCs w:val="28"/>
        </w:rPr>
        <w:t xml:space="preserve">СП Нигаматовский сельсовет МР Баймакский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proofErr w:type="spellStart"/>
      <w:r w:rsidRPr="005A5F62">
        <w:rPr>
          <w:rFonts w:ascii="Times New Roman" w:hAnsi="Times New Roman" w:cs="Times New Roman"/>
          <w:sz w:val="28"/>
          <w:szCs w:val="28"/>
        </w:rPr>
        <w:t>Нигаматовский</w:t>
      </w:r>
      <w:proofErr w:type="spellEnd"/>
      <w:r w:rsidRPr="005A5F62">
        <w:rPr>
          <w:rFonts w:ascii="Times New Roman" w:hAnsi="Times New Roman" w:cs="Times New Roman"/>
          <w:sz w:val="28"/>
          <w:szCs w:val="28"/>
        </w:rPr>
        <w:t xml:space="preserve"> с/с </w:t>
      </w:r>
      <w:proofErr w:type="spellStart"/>
      <w:proofErr w:type="gramStart"/>
      <w:r w:rsidRPr="005A5F62">
        <w:rPr>
          <w:rFonts w:ascii="Times New Roman" w:hAnsi="Times New Roman" w:cs="Times New Roman"/>
          <w:sz w:val="28"/>
          <w:szCs w:val="28"/>
        </w:rPr>
        <w:t>с</w:t>
      </w:r>
      <w:proofErr w:type="spellEnd"/>
      <w:proofErr w:type="gramEnd"/>
      <w:r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 xml:space="preserve">в </w:t>
      </w:r>
      <w:r w:rsidR="00C718BC" w:rsidRPr="005A5F62">
        <w:rPr>
          <w:rFonts w:ascii="Times New Roman" w:eastAsia="Times New Roman" w:hAnsi="Times New Roman" w:cs="Times New Roman"/>
          <w:sz w:val="28"/>
          <w:szCs w:val="28"/>
          <w:lang w:eastAsia="ru-RU"/>
        </w:rPr>
        <w:lastRenderedPageBreak/>
        <w:t>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9"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proofErr w:type="spellStart"/>
      <w:r>
        <w:rPr>
          <w:rFonts w:ascii="Times New Roman" w:hAnsi="Times New Roman" w:cs="Times New Roman"/>
          <w:sz w:val="28"/>
          <w:szCs w:val="28"/>
        </w:rPr>
        <w:t>Нигаматовский</w:t>
      </w:r>
      <w:proofErr w:type="spellEnd"/>
      <w:r>
        <w:rPr>
          <w:rFonts w:ascii="Times New Roman" w:hAnsi="Times New Roman" w:cs="Times New Roman"/>
          <w:sz w:val="28"/>
          <w:szCs w:val="28"/>
        </w:rPr>
        <w:t xml:space="preserve"> с/с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Нигаматовский с/с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1"/>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6551C9" w:rsidRDefault="006551C9" w:rsidP="00AB27D9">
      <w:pPr>
        <w:ind w:left="6237" w:right="-48"/>
        <w:jc w:val="right"/>
        <w:rPr>
          <w:rStyle w:val="a4"/>
          <w:rFonts w:ascii="Times New Roman" w:hAnsi="Times New Roman" w:cs="Times New Roman"/>
          <w:bCs/>
          <w:color w:val="auto"/>
          <w:sz w:val="18"/>
          <w:szCs w:val="18"/>
        </w:rPr>
      </w:pPr>
    </w:p>
    <w:p w:rsidR="006551C9" w:rsidRDefault="006551C9" w:rsidP="00AB27D9">
      <w:pPr>
        <w:ind w:left="6237" w:right="-48"/>
        <w:jc w:val="right"/>
        <w:rPr>
          <w:rStyle w:val="a4"/>
          <w:rFonts w:ascii="Times New Roman" w:hAnsi="Times New Roman" w:cs="Times New Roman"/>
          <w:bCs/>
          <w:color w:val="auto"/>
          <w:sz w:val="18"/>
          <w:szCs w:val="18"/>
        </w:rPr>
      </w:pPr>
    </w:p>
    <w:p w:rsidR="006551C9" w:rsidRDefault="006551C9" w:rsidP="00AB27D9">
      <w:pPr>
        <w:ind w:left="6237" w:right="-48"/>
        <w:jc w:val="right"/>
        <w:rPr>
          <w:rStyle w:val="a4"/>
          <w:rFonts w:ascii="Times New Roman" w:hAnsi="Times New Roman" w:cs="Times New Roman"/>
          <w:bCs/>
          <w:color w:val="auto"/>
          <w:sz w:val="18"/>
          <w:szCs w:val="18"/>
        </w:rPr>
      </w:pPr>
    </w:p>
    <w:p w:rsidR="006551C9" w:rsidRDefault="006551C9" w:rsidP="00AB27D9">
      <w:pPr>
        <w:ind w:left="6237" w:right="-48"/>
        <w:jc w:val="right"/>
        <w:rPr>
          <w:rStyle w:val="a4"/>
          <w:rFonts w:ascii="Times New Roman" w:hAnsi="Times New Roman" w:cs="Times New Roman"/>
          <w:bCs/>
          <w:color w:val="auto"/>
          <w:sz w:val="18"/>
          <w:szCs w:val="18"/>
        </w:rPr>
      </w:pPr>
    </w:p>
    <w:p w:rsidR="006551C9" w:rsidRDefault="006551C9" w:rsidP="00AB27D9">
      <w:pPr>
        <w:ind w:left="6237" w:right="-48"/>
        <w:jc w:val="right"/>
        <w:rPr>
          <w:rStyle w:val="a4"/>
          <w:rFonts w:ascii="Times New Roman" w:hAnsi="Times New Roman" w:cs="Times New Roman"/>
          <w:bCs/>
          <w:color w:val="auto"/>
          <w:sz w:val="18"/>
          <w:szCs w:val="18"/>
        </w:rPr>
      </w:pPr>
    </w:p>
    <w:p w:rsidR="006551C9" w:rsidRDefault="006551C9" w:rsidP="00AB27D9">
      <w:pPr>
        <w:ind w:left="6237" w:right="-48"/>
        <w:jc w:val="right"/>
        <w:rPr>
          <w:rStyle w:val="a4"/>
          <w:rFonts w:ascii="Times New Roman" w:hAnsi="Times New Roman" w:cs="Times New Roman"/>
          <w:bCs/>
          <w:color w:val="auto"/>
          <w:sz w:val="18"/>
          <w:szCs w:val="1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6551C9" w:rsidRDefault="006551C9" w:rsidP="00B97B25">
      <w:pPr>
        <w:ind w:left="6237" w:right="-48"/>
        <w:jc w:val="center"/>
        <w:rPr>
          <w:rStyle w:val="a4"/>
          <w:rFonts w:ascii="Times New Roman" w:hAnsi="Times New Roman" w:cs="Times New Roman"/>
          <w:bCs/>
          <w:color w:val="auto"/>
          <w:sz w:val="20"/>
          <w:szCs w:val="20"/>
        </w:rPr>
      </w:pPr>
    </w:p>
    <w:p w:rsidR="006551C9" w:rsidRDefault="006551C9" w:rsidP="00B97B25">
      <w:pPr>
        <w:ind w:left="6237" w:right="-48"/>
        <w:jc w:val="center"/>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10"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1"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2"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w:t>
      </w:r>
      <w:r w:rsidRPr="00CD474B">
        <w:rPr>
          <w:sz w:val="28"/>
          <w:szCs w:val="28"/>
        </w:rPr>
        <w:lastRenderedPageBreak/>
        <w:t>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4"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5"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6"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7"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8"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221781"/>
    <w:rsid w:val="003A0E23"/>
    <w:rsid w:val="00506148"/>
    <w:rsid w:val="005A5F62"/>
    <w:rsid w:val="005D5257"/>
    <w:rsid w:val="0063017A"/>
    <w:rsid w:val="006551C9"/>
    <w:rsid w:val="006B3DC5"/>
    <w:rsid w:val="006C6FA2"/>
    <w:rsid w:val="006E1B0D"/>
    <w:rsid w:val="00741A51"/>
    <w:rsid w:val="007E5984"/>
    <w:rsid w:val="008911C1"/>
    <w:rsid w:val="008A7E05"/>
    <w:rsid w:val="009033CE"/>
    <w:rsid w:val="009B5D80"/>
    <w:rsid w:val="009D498B"/>
    <w:rsid w:val="00A355CE"/>
    <w:rsid w:val="00AA081F"/>
    <w:rsid w:val="00AB27D9"/>
    <w:rsid w:val="00AE2240"/>
    <w:rsid w:val="00B15C26"/>
    <w:rsid w:val="00B26F22"/>
    <w:rsid w:val="00B81524"/>
    <w:rsid w:val="00B97B25"/>
    <w:rsid w:val="00C53D64"/>
    <w:rsid w:val="00C669C3"/>
    <w:rsid w:val="00C718BC"/>
    <w:rsid w:val="00C97608"/>
    <w:rsid w:val="00DA5CA2"/>
    <w:rsid w:val="00E02343"/>
    <w:rsid w:val="00E06C8F"/>
    <w:rsid w:val="00E57829"/>
    <w:rsid w:val="00F429F3"/>
    <w:rsid w:val="00F52011"/>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gama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C2561A0BFB318507858250A23596FB2EDDE226FEA0CA10139B6442944978918235A0939873D883A7007A13E2251C3E81DFF2149FA9CB6G8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41A2-4103-44C1-9CAB-43875118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3282</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Admin</cp:lastModifiedBy>
  <cp:revision>2</cp:revision>
  <cp:lastPrinted>2018-10-01T11:51:00Z</cp:lastPrinted>
  <dcterms:created xsi:type="dcterms:W3CDTF">2019-10-16T03:58:00Z</dcterms:created>
  <dcterms:modified xsi:type="dcterms:W3CDTF">2019-10-16T03:58:00Z</dcterms:modified>
</cp:coreProperties>
</file>